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Пояснювальна записка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 проекту рішення міської ради "Про   змін до Програми благоустрою міста Нова Каховка на 2022-2024 роки 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Обґрунтування необхідності прийняття проекту рішення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Проект рішення розроблено відділом комунального господарства з метою забезпечення виконання заходів програми в 2023 році.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 Мета прийняття проекту рішення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Забезпечення утримання об’єктів благоустрою, формування зовнішнього вигляду міста, надання йому естетично привабливого вигляду.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Фінансове забезпечення.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Кошти міського бюджету в сумі 1000,0 тис. грн будуть спрямовані комунальному підприємству "Новокаховське ШЕУ" для забезпечення утримання об’єктів транспортної інфраструктури (дорожня розмітка, очищення зливової каналізації, зимове утримання доріг).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4. Наслідки прийняття проекту рішення.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Забезпечення відновлення та утримання в належному стані об’єктів благоустрою міста.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Нвчальник відділу комунального господарства                         Галина Кіпрушева                                           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