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1C" w:rsidRDefault="00043B1C" w:rsidP="00043B1C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043B1C" w:rsidRPr="00867CC2" w:rsidRDefault="00043B1C" w:rsidP="00043B1C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043B1C" w:rsidRPr="00867CC2" w:rsidRDefault="00043B1C" w:rsidP="00043B1C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043B1C" w:rsidRDefault="00043B1C" w:rsidP="00043B1C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FE659B" w:rsidRDefault="00FE659B" w:rsidP="002262A3">
      <w:pPr>
        <w:ind w:left="6096"/>
        <w:jc w:val="left"/>
        <w:rPr>
          <w:sz w:val="24"/>
          <w:szCs w:val="24"/>
          <w:lang w:eastAsia="uk-UA"/>
        </w:rPr>
      </w:pPr>
    </w:p>
    <w:p w:rsidR="00FE659B" w:rsidRPr="002262A3" w:rsidRDefault="00FE659B" w:rsidP="002262A3">
      <w:pPr>
        <w:ind w:left="6096"/>
        <w:jc w:val="left"/>
        <w:rPr>
          <w:sz w:val="24"/>
          <w:szCs w:val="24"/>
          <w:lang w:eastAsia="uk-UA"/>
        </w:rPr>
      </w:pPr>
    </w:p>
    <w:p w:rsidR="007015A3" w:rsidRPr="00A27B82" w:rsidRDefault="007015A3" w:rsidP="007015A3">
      <w:pPr>
        <w:jc w:val="center"/>
        <w:rPr>
          <w:b/>
          <w:sz w:val="24"/>
          <w:szCs w:val="24"/>
          <w:lang w:eastAsia="uk-UA"/>
        </w:rPr>
      </w:pPr>
      <w:r w:rsidRPr="00A27B82">
        <w:rPr>
          <w:b/>
          <w:sz w:val="24"/>
          <w:szCs w:val="24"/>
          <w:lang w:eastAsia="uk-UA"/>
        </w:rPr>
        <w:t xml:space="preserve">ІНФОРМАЦІЙНА КАРТКА </w:t>
      </w:r>
    </w:p>
    <w:p w:rsidR="002C419E" w:rsidRDefault="007015A3" w:rsidP="007015A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27B82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A27B82">
        <w:rPr>
          <w:b/>
          <w:sz w:val="24"/>
          <w:szCs w:val="24"/>
          <w:lang w:eastAsia="uk-UA"/>
        </w:rPr>
        <w:t xml:space="preserve">державної реєстрації </w:t>
      </w:r>
      <w:r w:rsidR="00DD129C" w:rsidRPr="00A27B82">
        <w:rPr>
          <w:b/>
          <w:sz w:val="24"/>
          <w:szCs w:val="24"/>
          <w:lang w:eastAsia="uk-UA"/>
        </w:rPr>
        <w:t>припинення</w:t>
      </w:r>
      <w:r w:rsidR="00217143" w:rsidRPr="00A27B82">
        <w:rPr>
          <w:b/>
          <w:sz w:val="24"/>
          <w:szCs w:val="24"/>
          <w:lang w:eastAsia="uk-UA"/>
        </w:rPr>
        <w:t xml:space="preserve"> структурн</w:t>
      </w:r>
      <w:r w:rsidR="00DD129C" w:rsidRPr="00A27B82">
        <w:rPr>
          <w:b/>
          <w:sz w:val="24"/>
          <w:szCs w:val="24"/>
          <w:lang w:eastAsia="uk-UA"/>
        </w:rPr>
        <w:t>ого</w:t>
      </w:r>
      <w:r w:rsidR="00217143" w:rsidRPr="00A27B82">
        <w:rPr>
          <w:b/>
          <w:sz w:val="24"/>
          <w:szCs w:val="24"/>
          <w:lang w:eastAsia="uk-UA"/>
        </w:rPr>
        <w:t xml:space="preserve"> утворення </w:t>
      </w:r>
      <w:r w:rsidR="0085421D" w:rsidRPr="00A27B82">
        <w:rPr>
          <w:b/>
          <w:sz w:val="24"/>
          <w:szCs w:val="24"/>
          <w:lang w:eastAsia="uk-UA"/>
        </w:rPr>
        <w:t>політичної партії</w:t>
      </w:r>
      <w:r w:rsidR="00217143" w:rsidRPr="00A27B82">
        <w:rPr>
          <w:b/>
          <w:sz w:val="24"/>
          <w:szCs w:val="24"/>
          <w:lang w:eastAsia="uk-UA"/>
        </w:rPr>
        <w:t xml:space="preserve">, що </w:t>
      </w:r>
      <w:r w:rsidR="00DD129C" w:rsidRPr="00A27B82">
        <w:rPr>
          <w:b/>
          <w:sz w:val="24"/>
          <w:szCs w:val="24"/>
          <w:lang w:eastAsia="uk-UA"/>
        </w:rPr>
        <w:t>не має статусу юридичної особи</w:t>
      </w:r>
    </w:p>
    <w:p w:rsidR="00043B1C" w:rsidRPr="00471161" w:rsidRDefault="00043B1C" w:rsidP="00043B1C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042F49" w:rsidRPr="00A27B82" w:rsidRDefault="00043B1C" w:rsidP="00042F49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A27B82">
        <w:rPr>
          <w:sz w:val="20"/>
          <w:szCs w:val="20"/>
          <w:lang w:eastAsia="uk-UA"/>
        </w:rPr>
        <w:t xml:space="preserve"> </w:t>
      </w:r>
      <w:r w:rsidR="00042F49" w:rsidRPr="00A27B82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A27B82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"/>
        <w:gridCol w:w="3283"/>
        <w:gridCol w:w="6829"/>
      </w:tblGrid>
      <w:tr w:rsidR="00A27B82" w:rsidRPr="00A27B82" w:rsidTr="004B316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3AEE" w:rsidRPr="00A27B82" w:rsidRDefault="00083AEE" w:rsidP="00083AE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27B8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27B82" w:rsidRDefault="00083AEE" w:rsidP="00083AE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7B8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43B1C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B1C" w:rsidRPr="00A27B82" w:rsidRDefault="00043B1C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B1C" w:rsidRPr="00A27B82" w:rsidRDefault="00043B1C" w:rsidP="00042F49">
            <w:pPr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B1C" w:rsidRPr="00867CC2" w:rsidRDefault="00043B1C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043B1C" w:rsidRDefault="00043B1C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043B1C" w:rsidRPr="00867CC2" w:rsidRDefault="00043B1C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043B1C" w:rsidRDefault="00043B1C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43B1C" w:rsidRPr="00867CC2" w:rsidRDefault="00043B1C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043B1C" w:rsidRPr="00867CC2" w:rsidRDefault="00043B1C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043B1C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B1C" w:rsidRPr="00A27B82" w:rsidRDefault="00043B1C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B1C" w:rsidRPr="00A27B82" w:rsidRDefault="00043B1C" w:rsidP="00042F49">
            <w:pPr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B1C" w:rsidRPr="000C2C49" w:rsidRDefault="00043B1C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043B1C" w:rsidRPr="00867CC2" w:rsidRDefault="00043B1C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043B1C" w:rsidRPr="00867CC2" w:rsidRDefault="00043B1C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043B1C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B1C" w:rsidRPr="00A27B82" w:rsidRDefault="00043B1C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B1C" w:rsidRPr="00A27B82" w:rsidRDefault="00043B1C" w:rsidP="00042F49">
            <w:pPr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A27B82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A27B82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B1C" w:rsidRPr="00867CC2" w:rsidRDefault="00043B1C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043B1C" w:rsidRPr="00867CC2" w:rsidRDefault="00043B1C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043B1C" w:rsidRDefault="00043B1C" w:rsidP="002172FA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043B1C" w:rsidRPr="00867CC2" w:rsidRDefault="00043B1C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043B1C" w:rsidRPr="00867CC2" w:rsidRDefault="00043B1C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043B1C" w:rsidRDefault="00043B1C" w:rsidP="002172FA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043B1C" w:rsidRPr="00867CC2" w:rsidRDefault="00043B1C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043B1C" w:rsidRPr="00867CC2" w:rsidRDefault="00043B1C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043B1C" w:rsidRPr="00867CC2" w:rsidRDefault="00043B1C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27B82" w:rsidRPr="00A27B82" w:rsidTr="004B316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7B8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26D" w:rsidRPr="00A27B82" w:rsidRDefault="00A4426D" w:rsidP="00A4426D">
            <w:pPr>
              <w:ind w:firstLine="217"/>
              <w:jc w:val="left"/>
              <w:rPr>
                <w:sz w:val="24"/>
                <w:szCs w:val="24"/>
              </w:rPr>
            </w:pPr>
            <w:r w:rsidRPr="00A27B82">
              <w:rPr>
                <w:sz w:val="24"/>
                <w:szCs w:val="24"/>
              </w:rPr>
              <w:t>Закон України «Про політичні партії в Україні»</w:t>
            </w:r>
            <w:r w:rsidR="007015A3" w:rsidRPr="00A27B82">
              <w:rPr>
                <w:sz w:val="24"/>
                <w:szCs w:val="24"/>
              </w:rPr>
              <w:t>;</w:t>
            </w:r>
            <w:r w:rsidRPr="00A27B8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  <w:p w:rsidR="00593D02" w:rsidRPr="00A27B82" w:rsidRDefault="00A4426D" w:rsidP="007015A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7B82" w:rsidRDefault="007A067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7B82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F02030" w:rsidRPr="00A27B82">
              <w:rPr>
                <w:sz w:val="24"/>
                <w:szCs w:val="24"/>
                <w:lang w:eastAsia="uk-UA"/>
              </w:rPr>
              <w:t xml:space="preserve"> «</w:t>
            </w:r>
            <w:r w:rsidRPr="00A27B82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186CAE" w:rsidRPr="00A27B82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="007015A3" w:rsidRPr="00A27B82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A27B82" w:rsidRDefault="007015A3" w:rsidP="007015A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н</w:t>
            </w:r>
            <w:r w:rsidR="00F03E60" w:rsidRPr="00A27B82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27B82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A27B82" w:rsidRPr="00A27B82" w:rsidTr="004B316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7B8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1038E5">
            <w:pPr>
              <w:ind w:firstLine="224"/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</w:rPr>
              <w:t xml:space="preserve">Звернення уповноваженої особи  </w:t>
            </w:r>
            <w:r w:rsidR="007015A3" w:rsidRPr="00A27B82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C54AAD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C54AAD" w:rsidRPr="00A27B82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43" w:rsidRPr="009E71A8" w:rsidRDefault="00F02030" w:rsidP="00217143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bookmarkStart w:id="3" w:name="n550"/>
            <w:bookmarkEnd w:id="3"/>
            <w:r w:rsidRPr="009E71A8">
              <w:rPr>
                <w:color w:val="000000" w:themeColor="text1"/>
                <w:sz w:val="24"/>
                <w:szCs w:val="24"/>
              </w:rPr>
              <w:t>П</w:t>
            </w:r>
            <w:r w:rsidR="00DD129C" w:rsidRPr="009E71A8">
              <w:rPr>
                <w:color w:val="000000" w:themeColor="text1"/>
                <w:sz w:val="24"/>
                <w:szCs w:val="24"/>
              </w:rPr>
              <w:t>римірник оригіналу (нотаріально засвідчена копія) рішення уповноваженого органу управління, передбаченого статутом політичної партії, про саморозпуск або рішення відповідного державного органу про припинення структурного утворення політичної партії.</w:t>
            </w:r>
          </w:p>
          <w:p w:rsidR="007241C8" w:rsidRPr="009E71A8" w:rsidRDefault="007241C8" w:rsidP="007241C8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71A8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Pr="009E71A8" w:rsidRDefault="007241C8" w:rsidP="001E2D9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9E71A8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E2D9B" w:rsidRPr="009E71A8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E71A8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BE66FA" w:rsidRPr="009E71A8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BE66FA" w:rsidRPr="009E71A8" w:rsidRDefault="00BE66FA" w:rsidP="001E2D9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71A8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E71A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9E71A8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7015A3" w:rsidRPr="009E71A8">
              <w:rPr>
                <w:color w:val="000000" w:themeColor="text1"/>
                <w:sz w:val="24"/>
                <w:szCs w:val="24"/>
              </w:rPr>
              <w:t>У</w:t>
            </w:r>
            <w:r w:rsidRPr="009E71A8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5316A9" w:rsidRPr="009E71A8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9E71A8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9E71A8" w:rsidRDefault="00F03E60" w:rsidP="0021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71A8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FE659B">
              <w:rPr>
                <w:sz w:val="24"/>
                <w:szCs w:val="24"/>
              </w:rPr>
              <w:t>В</w:t>
            </w:r>
            <w:r w:rsidR="00FE659B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FE659B" w:rsidRPr="00A33A6B">
              <w:rPr>
                <w:sz w:val="24"/>
                <w:szCs w:val="24"/>
              </w:rPr>
              <w:t>вебпорталу</w:t>
            </w:r>
            <w:proofErr w:type="spellEnd"/>
            <w:r w:rsidR="00FE659B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FE659B" w:rsidRPr="00A33A6B">
              <w:rPr>
                <w:sz w:val="24"/>
                <w:szCs w:val="24"/>
              </w:rPr>
              <w:t>вебпортал</w:t>
            </w:r>
            <w:proofErr w:type="spellEnd"/>
            <w:r w:rsidR="00FE659B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FE659B">
              <w:rPr>
                <w:sz w:val="24"/>
                <w:szCs w:val="24"/>
              </w:rPr>
              <w:t>*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2C419E" w:rsidP="00E42347">
            <w:pPr>
              <w:spacing w:before="100" w:beforeAutospacing="1" w:after="150"/>
              <w:ind w:firstLine="217"/>
              <w:rPr>
                <w:sz w:val="24"/>
                <w:szCs w:val="24"/>
                <w:lang w:eastAsia="uk-UA"/>
              </w:rPr>
            </w:pPr>
            <w:bookmarkStart w:id="5" w:name="n857"/>
            <w:bookmarkEnd w:id="5"/>
            <w:r w:rsidRPr="00A27B8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3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30" w:rsidRPr="00A27B82" w:rsidRDefault="00F0203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30" w:rsidRPr="00A27B82" w:rsidRDefault="00F02030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</w:t>
            </w:r>
            <w:r w:rsidR="00042F49" w:rsidRPr="00A27B82">
              <w:rPr>
                <w:sz w:val="24"/>
                <w:szCs w:val="24"/>
                <w:lang w:eastAsia="uk-UA"/>
              </w:rPr>
              <w:t>1</w:t>
            </w:r>
            <w:r w:rsidRPr="00A27B82">
              <w:rPr>
                <w:sz w:val="24"/>
                <w:szCs w:val="24"/>
                <w:lang w:eastAsia="uk-UA"/>
              </w:rPr>
              <w:t xml:space="preserve"> робочого дня з дати подання документів щодо первинного осередку політичної партії.</w:t>
            </w:r>
          </w:p>
          <w:p w:rsidR="001038E5" w:rsidRPr="00A27B82" w:rsidRDefault="001038E5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2030" w:rsidRPr="00A27B82" w:rsidRDefault="00F02030" w:rsidP="00DB49C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7B8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015A3" w:rsidRPr="00A27B82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90F9A" w:rsidRPr="00A27B82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27B82" w:rsidRDefault="00F02030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A27B82">
              <w:rPr>
                <w:sz w:val="24"/>
                <w:szCs w:val="24"/>
                <w:lang w:eastAsia="uk-UA"/>
              </w:rPr>
              <w:t>П</w:t>
            </w:r>
            <w:r w:rsidR="0052271C" w:rsidRPr="00A27B82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A27B82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A27B82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A27B8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042F49" w:rsidRPr="00A27B82">
              <w:rPr>
                <w:sz w:val="24"/>
                <w:szCs w:val="24"/>
                <w:lang w:eastAsia="uk-UA"/>
              </w:rPr>
              <w:br/>
            </w:r>
            <w:r w:rsidRPr="00A27B82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A27B82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A27B82">
              <w:rPr>
                <w:sz w:val="24"/>
                <w:szCs w:val="24"/>
                <w:lang w:eastAsia="uk-UA"/>
              </w:rPr>
              <w:t>;</w:t>
            </w:r>
          </w:p>
          <w:p w:rsidR="00F03E60" w:rsidRPr="00A27B82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27B8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015A3" w:rsidRPr="00A27B82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015A3" w:rsidRPr="00A27B82">
              <w:rPr>
                <w:sz w:val="24"/>
                <w:szCs w:val="24"/>
                <w:lang w:eastAsia="uk-UA"/>
              </w:rPr>
              <w:t>й</w:t>
            </w:r>
            <w:r w:rsidRPr="00A27B82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203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Д</w:t>
            </w:r>
            <w:r w:rsidR="00F03E60" w:rsidRPr="00A27B82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27B82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27B82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4B3168" w:rsidRPr="00A27B82">
              <w:rPr>
                <w:sz w:val="24"/>
                <w:szCs w:val="24"/>
                <w:lang w:eastAsia="uk-UA"/>
              </w:rPr>
              <w:br/>
            </w:r>
            <w:r w:rsidR="00010AF8" w:rsidRPr="00A27B82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A27B82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E66FA" w:rsidRPr="009E71A8" w:rsidRDefault="00BE66FA" w:rsidP="00BE66FA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71A8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A27B82" w:rsidRDefault="00F03E60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A27B82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E42347" w:rsidRPr="00A27B82">
              <w:rPr>
                <w:sz w:val="24"/>
                <w:szCs w:val="24"/>
                <w:lang w:eastAsia="uk-UA"/>
              </w:rPr>
              <w:t>;</w:t>
            </w:r>
          </w:p>
          <w:p w:rsidR="00E42347" w:rsidRDefault="00E42347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документи суперечать статуту</w:t>
            </w:r>
            <w:r w:rsidR="007015A3" w:rsidRPr="00A27B82">
              <w:rPr>
                <w:sz w:val="24"/>
                <w:szCs w:val="24"/>
                <w:lang w:eastAsia="uk-UA"/>
              </w:rPr>
              <w:t xml:space="preserve"> </w:t>
            </w:r>
            <w:r w:rsidR="00161383" w:rsidRPr="00A27B82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E33242">
              <w:rPr>
                <w:sz w:val="24"/>
                <w:szCs w:val="24"/>
                <w:lang w:eastAsia="uk-UA"/>
              </w:rPr>
              <w:t>;</w:t>
            </w:r>
          </w:p>
          <w:p w:rsidR="00E33242" w:rsidRPr="00A27B82" w:rsidRDefault="00E33242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C1733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647397" w:rsidRPr="00FC1733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AAD" w:rsidRPr="00A27B82" w:rsidRDefault="00F02030" w:rsidP="00C54AAD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A27B82">
              <w:rPr>
                <w:sz w:val="24"/>
                <w:szCs w:val="24"/>
                <w:lang w:eastAsia="uk-UA"/>
              </w:rPr>
              <w:t>В</w:t>
            </w:r>
            <w:r w:rsidR="00C54AAD" w:rsidRPr="00A27B82">
              <w:rPr>
                <w:sz w:val="24"/>
                <w:szCs w:val="24"/>
                <w:lang w:eastAsia="uk-UA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B75DBE" w:rsidRPr="00A27B82">
              <w:rPr>
                <w:sz w:val="24"/>
                <w:szCs w:val="24"/>
                <w:lang w:eastAsia="uk-UA"/>
              </w:rPr>
              <w:t>*</w:t>
            </w:r>
            <w:r w:rsidR="00FB0101">
              <w:rPr>
                <w:sz w:val="24"/>
                <w:szCs w:val="24"/>
                <w:lang w:eastAsia="uk-UA"/>
              </w:rPr>
              <w:t>*</w:t>
            </w:r>
            <w:r w:rsidR="00C54AAD" w:rsidRPr="00A27B82">
              <w:rPr>
                <w:sz w:val="24"/>
                <w:szCs w:val="24"/>
                <w:lang w:eastAsia="uk-UA"/>
              </w:rPr>
              <w:t>;</w:t>
            </w:r>
          </w:p>
          <w:p w:rsidR="009E54EE" w:rsidRDefault="009E54EE" w:rsidP="009E54E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27B82" w:rsidRDefault="009E54EE" w:rsidP="00C54AAD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C54AAD" w:rsidRPr="00A27B8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7015A3" w:rsidRPr="00A27B82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A27B82" w:rsidRPr="00A27B82" w:rsidTr="004B3168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7015A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27B82">
              <w:rPr>
                <w:sz w:val="24"/>
                <w:szCs w:val="24"/>
              </w:rPr>
              <w:t>Результати надання адміністративн</w:t>
            </w:r>
            <w:r w:rsidR="007015A3" w:rsidRPr="00A27B82">
              <w:rPr>
                <w:sz w:val="24"/>
                <w:szCs w:val="24"/>
              </w:rPr>
              <w:t>ої</w:t>
            </w:r>
            <w:r w:rsidRPr="00A27B82">
              <w:rPr>
                <w:sz w:val="24"/>
                <w:szCs w:val="24"/>
              </w:rPr>
              <w:t xml:space="preserve"> послуг</w:t>
            </w:r>
            <w:r w:rsidR="007015A3" w:rsidRPr="00A27B82">
              <w:rPr>
                <w:sz w:val="24"/>
                <w:szCs w:val="24"/>
              </w:rPr>
              <w:t>и</w:t>
            </w:r>
            <w:r w:rsidRPr="00A27B82">
              <w:rPr>
                <w:sz w:val="24"/>
                <w:szCs w:val="24"/>
              </w:rPr>
              <w:t xml:space="preserve"> у сфері державної реєстрації </w:t>
            </w:r>
            <w:r w:rsidR="00BF7EB9" w:rsidRPr="00A27B82">
              <w:rPr>
                <w:sz w:val="24"/>
                <w:szCs w:val="24"/>
              </w:rPr>
              <w:t xml:space="preserve">в електронній формі </w:t>
            </w:r>
            <w:r w:rsidRPr="00A27B82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C54AAD" w:rsidRPr="00A27B82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Pr="00A27B82">
              <w:rPr>
                <w:sz w:val="24"/>
                <w:szCs w:val="24"/>
              </w:rPr>
              <w:t xml:space="preserve"> </w:t>
            </w:r>
            <w:r w:rsidR="001038E5" w:rsidRPr="00A27B82">
              <w:rPr>
                <w:sz w:val="24"/>
                <w:szCs w:val="24"/>
              </w:rPr>
              <w:t>*</w:t>
            </w:r>
            <w:r w:rsidR="00FB0101">
              <w:rPr>
                <w:sz w:val="24"/>
                <w:szCs w:val="24"/>
              </w:rPr>
              <w:t>*</w:t>
            </w:r>
            <w:r w:rsidR="001038E5" w:rsidRPr="00A27B82">
              <w:rPr>
                <w:sz w:val="24"/>
                <w:szCs w:val="24"/>
              </w:rPr>
              <w:t>*.</w:t>
            </w:r>
          </w:p>
          <w:p w:rsidR="001038E5" w:rsidRPr="00A27B82" w:rsidRDefault="001038E5" w:rsidP="007015A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F7EB9" w:rsidRPr="00A27B82" w:rsidRDefault="00BF7EB9" w:rsidP="004B3168">
      <w:pPr>
        <w:ind w:left="-142"/>
        <w:rPr>
          <w:sz w:val="6"/>
          <w:szCs w:val="6"/>
        </w:rPr>
      </w:pPr>
      <w:bookmarkStart w:id="10" w:name="n43"/>
      <w:bookmarkEnd w:id="10"/>
      <w:r w:rsidRPr="00A27B82">
        <w:rPr>
          <w:sz w:val="6"/>
          <w:szCs w:val="6"/>
        </w:rPr>
        <w:t>_________________________________</w:t>
      </w:r>
    </w:p>
    <w:p w:rsidR="00FB0101" w:rsidRPr="00B11341" w:rsidRDefault="00FB0101" w:rsidP="00FB0101">
      <w:pPr>
        <w:tabs>
          <w:tab w:val="left" w:pos="9564"/>
        </w:tabs>
        <w:ind w:left="-142"/>
        <w:rPr>
          <w:sz w:val="14"/>
          <w:szCs w:val="14"/>
        </w:rPr>
      </w:pPr>
      <w:r w:rsidRPr="00B11341">
        <w:rPr>
          <w:sz w:val="14"/>
          <w:szCs w:val="14"/>
        </w:rPr>
        <w:t>*</w:t>
      </w:r>
      <w:r w:rsidR="00FE659B" w:rsidRPr="00FE659B">
        <w:rPr>
          <w:sz w:val="14"/>
          <w:szCs w:val="14"/>
        </w:rPr>
        <w:t xml:space="preserve"> </w:t>
      </w:r>
      <w:r w:rsidR="007A0676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7A0676">
        <w:rPr>
          <w:sz w:val="14"/>
          <w:szCs w:val="16"/>
        </w:rPr>
        <w:t>вебпорталу</w:t>
      </w:r>
      <w:proofErr w:type="spellEnd"/>
      <w:r w:rsidR="007A0676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  <w:r>
        <w:rPr>
          <w:sz w:val="14"/>
          <w:szCs w:val="14"/>
        </w:rPr>
        <w:t>;</w:t>
      </w:r>
    </w:p>
    <w:p w:rsidR="00B75DBE" w:rsidRPr="00A27B82" w:rsidRDefault="00B75DBE" w:rsidP="004B3168">
      <w:pPr>
        <w:ind w:left="-142"/>
        <w:rPr>
          <w:sz w:val="14"/>
          <w:szCs w:val="14"/>
        </w:rPr>
      </w:pPr>
      <w:r w:rsidRPr="00A27B82">
        <w:rPr>
          <w:sz w:val="14"/>
          <w:szCs w:val="14"/>
        </w:rPr>
        <w:t>*</w:t>
      </w:r>
      <w:r w:rsidR="00FB0101">
        <w:rPr>
          <w:sz w:val="14"/>
          <w:szCs w:val="14"/>
        </w:rPr>
        <w:t>*</w:t>
      </w:r>
      <w:r w:rsidRPr="00A27B82">
        <w:rPr>
          <w:sz w:val="14"/>
          <w:szCs w:val="14"/>
        </w:rPr>
        <w:t xml:space="preserve">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</w:t>
      </w:r>
      <w:r w:rsidR="00813E76" w:rsidRPr="00A27B82">
        <w:rPr>
          <w:sz w:val="14"/>
          <w:szCs w:val="14"/>
        </w:rPr>
        <w:t>Єдиного реєстру громадських формувань</w:t>
      </w:r>
      <w:r w:rsidR="00FB0101">
        <w:rPr>
          <w:sz w:val="14"/>
          <w:szCs w:val="14"/>
        </w:rPr>
        <w:t>;</w:t>
      </w:r>
    </w:p>
    <w:p w:rsidR="001B79F6" w:rsidRPr="00A27B82" w:rsidRDefault="001B79F6" w:rsidP="004B3168">
      <w:pPr>
        <w:spacing w:after="120"/>
        <w:ind w:left="-142"/>
        <w:rPr>
          <w:sz w:val="20"/>
          <w:szCs w:val="20"/>
        </w:rPr>
      </w:pPr>
      <w:r w:rsidRPr="00A27B82">
        <w:rPr>
          <w:sz w:val="14"/>
          <w:szCs w:val="14"/>
        </w:rPr>
        <w:t>*</w:t>
      </w:r>
      <w:r w:rsidR="00FB0101">
        <w:rPr>
          <w:sz w:val="14"/>
          <w:szCs w:val="14"/>
        </w:rPr>
        <w:t>*</w:t>
      </w:r>
      <w:r w:rsidRPr="00A27B82">
        <w:rPr>
          <w:sz w:val="14"/>
          <w:szCs w:val="14"/>
        </w:rPr>
        <w:t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</w:t>
      </w:r>
    </w:p>
    <w:p w:rsidR="00B75DBE" w:rsidRDefault="00B75DBE" w:rsidP="004B3168">
      <w:pPr>
        <w:ind w:left="-142"/>
      </w:pPr>
    </w:p>
    <w:p w:rsidR="00043B1C" w:rsidRDefault="00043B1C" w:rsidP="00043B1C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043B1C" w:rsidRDefault="00043B1C" w:rsidP="00043B1C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043B1C" w:rsidRDefault="00043B1C" w:rsidP="00043B1C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11" w:name="_GoBack"/>
      <w:bookmarkEnd w:id="11"/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043B1C" w:rsidRPr="00043B1C" w:rsidRDefault="00043B1C" w:rsidP="004B3168">
      <w:pPr>
        <w:ind w:left="-142"/>
        <w:rPr>
          <w:lang w:val="ru-RU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2261"/>
        <w:gridCol w:w="3249"/>
      </w:tblGrid>
      <w:tr w:rsidR="00FE659B" w:rsidRPr="00306A24" w:rsidTr="00043B1C">
        <w:tc>
          <w:tcPr>
            <w:tcW w:w="5104" w:type="dxa"/>
          </w:tcPr>
          <w:p w:rsidR="00FE659B" w:rsidRPr="00DB5607" w:rsidRDefault="00FE659B" w:rsidP="0087065B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59B" w:rsidRPr="00DB5607" w:rsidRDefault="00FE659B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E659B" w:rsidRPr="00DB5607" w:rsidRDefault="00FE659B" w:rsidP="0087065B">
            <w:pPr>
              <w:tabs>
                <w:tab w:val="left" w:pos="2760"/>
              </w:tabs>
              <w:ind w:right="-108"/>
              <w:rPr>
                <w:b/>
                <w:sz w:val="24"/>
                <w:szCs w:val="24"/>
              </w:rPr>
            </w:pPr>
          </w:p>
        </w:tc>
      </w:tr>
    </w:tbl>
    <w:p w:rsidR="007015A3" w:rsidRPr="00A27B82" w:rsidRDefault="007015A3" w:rsidP="00217143"/>
    <w:sectPr w:rsidR="007015A3" w:rsidRPr="00A27B82" w:rsidSect="004E6842">
      <w:headerReference w:type="default" r:id="rId11"/>
      <w:pgSz w:w="11906" w:h="16838"/>
      <w:pgMar w:top="851" w:right="567" w:bottom="1134" w:left="992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95" w:rsidRDefault="00B82A95">
      <w:r>
        <w:separator/>
      </w:r>
    </w:p>
  </w:endnote>
  <w:endnote w:type="continuationSeparator" w:id="0">
    <w:p w:rsidR="00B82A95" w:rsidRDefault="00B8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95" w:rsidRDefault="00B82A95">
      <w:r>
        <w:separator/>
      </w:r>
    </w:p>
  </w:footnote>
  <w:footnote w:type="continuationSeparator" w:id="0">
    <w:p w:rsidR="00B82A95" w:rsidRDefault="00B8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4B3168">
    <w:pPr>
      <w:pStyle w:val="a4"/>
      <w:jc w:val="center"/>
    </w:pPr>
    <w:r w:rsidRPr="00B75DBE">
      <w:rPr>
        <w:sz w:val="24"/>
        <w:szCs w:val="24"/>
      </w:rPr>
      <w:fldChar w:fldCharType="begin"/>
    </w:r>
    <w:r w:rsidRPr="00B75DBE">
      <w:rPr>
        <w:sz w:val="24"/>
        <w:szCs w:val="24"/>
      </w:rPr>
      <w:instrText>PAGE   \* MERGEFORMAT</w:instrText>
    </w:r>
    <w:r w:rsidRPr="00B75DBE">
      <w:rPr>
        <w:sz w:val="24"/>
        <w:szCs w:val="24"/>
      </w:rPr>
      <w:fldChar w:fldCharType="separate"/>
    </w:r>
    <w:r w:rsidR="00043B1C" w:rsidRPr="00043B1C">
      <w:rPr>
        <w:noProof/>
        <w:sz w:val="24"/>
        <w:szCs w:val="24"/>
        <w:lang w:val="ru-RU"/>
      </w:rPr>
      <w:t>4</w:t>
    </w:r>
    <w:r w:rsidRPr="00B75DB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75FA"/>
    <w:rsid w:val="00036A10"/>
    <w:rsid w:val="00042F49"/>
    <w:rsid w:val="00043B1C"/>
    <w:rsid w:val="0005796A"/>
    <w:rsid w:val="00083AEE"/>
    <w:rsid w:val="000E640D"/>
    <w:rsid w:val="001038E5"/>
    <w:rsid w:val="00122A7B"/>
    <w:rsid w:val="0013382C"/>
    <w:rsid w:val="00153647"/>
    <w:rsid w:val="00161383"/>
    <w:rsid w:val="00186CAE"/>
    <w:rsid w:val="00197CC9"/>
    <w:rsid w:val="001B79F6"/>
    <w:rsid w:val="001E2D9B"/>
    <w:rsid w:val="00217143"/>
    <w:rsid w:val="002262A3"/>
    <w:rsid w:val="00235CE6"/>
    <w:rsid w:val="00246DBC"/>
    <w:rsid w:val="002625B1"/>
    <w:rsid w:val="002A496D"/>
    <w:rsid w:val="002B625C"/>
    <w:rsid w:val="002C419E"/>
    <w:rsid w:val="002D4719"/>
    <w:rsid w:val="0031296A"/>
    <w:rsid w:val="00352D9C"/>
    <w:rsid w:val="00372F6B"/>
    <w:rsid w:val="003E44E9"/>
    <w:rsid w:val="004119E9"/>
    <w:rsid w:val="004B3168"/>
    <w:rsid w:val="004B42AC"/>
    <w:rsid w:val="004E6842"/>
    <w:rsid w:val="00501663"/>
    <w:rsid w:val="0052271C"/>
    <w:rsid w:val="005316A9"/>
    <w:rsid w:val="0054129E"/>
    <w:rsid w:val="005575C3"/>
    <w:rsid w:val="0057222A"/>
    <w:rsid w:val="0059318D"/>
    <w:rsid w:val="00593D02"/>
    <w:rsid w:val="005C3093"/>
    <w:rsid w:val="005D58EA"/>
    <w:rsid w:val="006129D9"/>
    <w:rsid w:val="0061775A"/>
    <w:rsid w:val="00647397"/>
    <w:rsid w:val="006F3722"/>
    <w:rsid w:val="007015A3"/>
    <w:rsid w:val="00707A52"/>
    <w:rsid w:val="0072163C"/>
    <w:rsid w:val="007241C8"/>
    <w:rsid w:val="007A0676"/>
    <w:rsid w:val="00812D3D"/>
    <w:rsid w:val="00813E76"/>
    <w:rsid w:val="0085421D"/>
    <w:rsid w:val="008D1CE3"/>
    <w:rsid w:val="008D3F7F"/>
    <w:rsid w:val="00950031"/>
    <w:rsid w:val="009E0581"/>
    <w:rsid w:val="009E54EE"/>
    <w:rsid w:val="009E71A8"/>
    <w:rsid w:val="00A27B82"/>
    <w:rsid w:val="00A4426D"/>
    <w:rsid w:val="00A80983"/>
    <w:rsid w:val="00A865C2"/>
    <w:rsid w:val="00A90B3D"/>
    <w:rsid w:val="00AD4456"/>
    <w:rsid w:val="00AE3E1A"/>
    <w:rsid w:val="00B1165C"/>
    <w:rsid w:val="00B22FA0"/>
    <w:rsid w:val="00B537E8"/>
    <w:rsid w:val="00B54254"/>
    <w:rsid w:val="00B555A2"/>
    <w:rsid w:val="00B75DBE"/>
    <w:rsid w:val="00B82A95"/>
    <w:rsid w:val="00BB06FD"/>
    <w:rsid w:val="00BD72E4"/>
    <w:rsid w:val="00BE66FA"/>
    <w:rsid w:val="00BF7EB9"/>
    <w:rsid w:val="00C0028B"/>
    <w:rsid w:val="00C06F02"/>
    <w:rsid w:val="00C33A24"/>
    <w:rsid w:val="00C36C08"/>
    <w:rsid w:val="00C54AAD"/>
    <w:rsid w:val="00C70B27"/>
    <w:rsid w:val="00C902E8"/>
    <w:rsid w:val="00C90F9A"/>
    <w:rsid w:val="00CD788E"/>
    <w:rsid w:val="00D212F0"/>
    <w:rsid w:val="00D73861"/>
    <w:rsid w:val="00D92E0A"/>
    <w:rsid w:val="00D96906"/>
    <w:rsid w:val="00DC2A9F"/>
    <w:rsid w:val="00DD003D"/>
    <w:rsid w:val="00DD129C"/>
    <w:rsid w:val="00E33242"/>
    <w:rsid w:val="00E42347"/>
    <w:rsid w:val="00F02030"/>
    <w:rsid w:val="00F03964"/>
    <w:rsid w:val="00F03E60"/>
    <w:rsid w:val="00F37164"/>
    <w:rsid w:val="00F579DA"/>
    <w:rsid w:val="00FB0101"/>
    <w:rsid w:val="00FC1733"/>
    <w:rsid w:val="00FD0E6C"/>
    <w:rsid w:val="00FD7ACE"/>
    <w:rsid w:val="00FE054C"/>
    <w:rsid w:val="00FE659B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015A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75DB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5DB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043B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015A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75DB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5DB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043B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599D-4DBE-4DC4-A8B2-C32E3BB6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50</cp:revision>
  <dcterms:created xsi:type="dcterms:W3CDTF">2016-04-08T11:16:00Z</dcterms:created>
  <dcterms:modified xsi:type="dcterms:W3CDTF">2021-04-26T06:26:00Z</dcterms:modified>
</cp:coreProperties>
</file>